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uqbcpluapbu3uif80wlza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vxjnb3_4nho-yhfolsxmz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t4zvhopke55bivgxiyhqd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lan9pivyswof9m9wjw8kd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(consumption-priced AI creator tooling)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 | GTM Planning, Forecasting, Pricing, AI Tooling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Own forecasting and unit economics for Epic's AI Creator Tools, modeling per-call cost, cache-hit rates, and usage to set launch pricing, protect ~50% gross margin, and remove ~$25M in annualized margin risk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Run recurring close and quarterly actuals-vs-forecast reviews for Unreal Engine, translating royalty, licensing, and bookings variances into budget reallocations, headcount calls, and leadership course-corrections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Partner across Product, Engineering, and GTM to turn roadmap, usage-threshold, and pricing tradeoffs into launch business cases, making inference cost an operating KPI before commercialization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Stood up Epic finance's first agentic operating layer, onboarding 20+ non-technical finance and business users onto Claude Code with a finance-specific curriculum, verification loops, and reusable agent skills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schema-aware agent skills that let finance partners self-serve Workday, Salesforce, and Databricks data, cutting manual pulls across 10+ close, forecasting, and reporting workflows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GTM Strategy &amp; Finance, Manager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the sales-capacity and quota model to scale from 50 to 200 reps against a $300M plan, setting headcount, channel mix,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ShareChat's first 3-month revenue-forecasting and planning cadence - Salesforce schema, approval flow, and reporting outputs - holding monthly revenue within 5% of actuals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Engineered the ads-product financial model that secured a $10M quarterly performance-marketing budget by establishing LTV/CAC success metrics for profitable scale-up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Led GTM launch strategy for ShareChat's display-ads product with Sales and Marketing, defining target markets and vertical recommendations that enabled $60M ARR within 6 months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 sales lines, translating business-unit forecasts into Board and investor materials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Set bulk-inventory discount and pricing recommendations for a closed $50M+ annual advertising deal, balancing committed spend, ad-yield tradeoffs, and revenue predictability with Sales and Commercial leaders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Ran self-serve B2B ad-funnel A/B tests, cutting drop-off ~35% and lifting monthly sign-ups by 120k+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B2B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</w:t>
      </w:r>
      <w:r>
        <w:rPr>
          <w:i/>
          <w:iCs/>
          <w:color w:val="222222"/>
          <w:sz w:val="18"/>
          <w:szCs w:val="18"/>
        </w:rPr>
        <w:t xml:space="preserve"> | MBA Intern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Drove $500K in annualized EBITDA growth by redesigning three B2B SaaS pricing tiers around usage, storage costs, churn risk, and competitor benchmarks, then leading rollout with CEO, marketing, and support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&amp; Finance, Manager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Built unit-economics models (LTV, churn, retention, CAC) and investment cases behind a $1M gaming-as-a-service decision and a $3M content-platform launch, framing tradeoffs for executives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Translated $75M+ in acquisition and content-IP deals into post-close budgets, synergy targets, and integration plans presented to executives and the board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96" w:line="232"/>
      </w:pPr>
      <w:r>
        <w:rPr>
          <w:color w:val="333333"/>
          <w:sz w:val="18"/>
          <w:szCs w:val="18"/>
        </w:rPr>
        <w:t xml:space="preserve">Excel, Google Sheets, SQL, Python, Databricks, Salesforce, Workday, Tableau, PowerBI, Claude Code, APIs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uqbcpluapbu3uif80wlza" Type="http://schemas.openxmlformats.org/officeDocument/2006/relationships/hyperlink" Target="mailto:darsh.shah981@gmail.com" TargetMode="External"/><Relationship Id="rIdvxjnb3_4nho-yhfolsxmz" Type="http://schemas.openxmlformats.org/officeDocument/2006/relationships/hyperlink" Target="https://github.com/darshshah981" TargetMode="External"/><Relationship Id="rIdt4zvhopke55bivgxiyhqd" Type="http://schemas.openxmlformats.org/officeDocument/2006/relationships/hyperlink" Target="https://darshshah.xyz" TargetMode="External"/><Relationship Id="rIdlan9pivyswof9m9wjw8kd" Type="http://schemas.openxmlformats.org/officeDocument/2006/relationships/hyperlink" Target="https://www.linkedin.com/in/darshshah981" TargetMode="External"/><Relationship Id="rId10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2026-06-17T02:09:46.082Z</dcterms:created>
  <dcterms:modified xsi:type="dcterms:W3CDTF">2026-06-17T02:09:46.083Z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