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bcqpjasxglog0mp28wy-8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qyr0g_n8pvtwss_8v5gmr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az75y9fglwhxeq_-j7niu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qwtzyx9n61eixuxgoyj8q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Why Cursor</w:t>
      </w:r>
    </w:p>
    <w:p>
      <w:pPr>
        <w:spacing w:before="0" w:after="8" w:line="232"/>
      </w:pPr>
      <w:r>
        <w:rPr>
          <w:sz w:val="18"/>
          <w:szCs w:val="18"/>
        </w:rPr>
        <w:t xml:space="preserve">Sales finance operator who built capacity, quota, and forecasting for a 50-to-200-rep expansion against a $300M plan. I now apply that lens to Unreal Engine's developer platform and use Cursor daily to build finance tools.</w:t>
      </w:r>
    </w:p>
    <w:p>
      <w:pPr>
        <w:pStyle w:val="Heading1"/>
        <w:pBdr>
          <w:bottom w:val="single" w:color="707070" w:sz="6" w:space="1"/>
        </w:pBdr>
        <w:spacing w:before="140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2022 - 2024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  <w:r>
        <w:rPr>
          <w:i/>
          <w:iCs/>
          <w:color w:val="222222"/>
          <w:sz w:val="18"/>
          <w:szCs w:val="18"/>
        </w:rPr>
        <w:t xml:space="preserve"> | Concentrations: Strategy &amp; Finance | Dean's List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2013 - 2016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(Finance)</w:t>
      </w:r>
    </w:p>
    <w:p>
      <w:pPr>
        <w:pStyle w:val="Heading1"/>
        <w:pBdr>
          <w:bottom w:val="single" w:color="707070" w:sz="6" w:space="1"/>
        </w:pBdr>
        <w:spacing w:before="140" w:after="30"/>
      </w:pPr>
      <w:r>
        <w:rPr>
          <w:caps/>
          <w:sz w:val="18"/>
          <w:szCs w:val="18"/>
        </w:rPr>
        <w:t xml:space="preserve">Professional Experience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(Unreal Engine developer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Hybrid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Senior Financial Analyst | GTM Finance, Unreal Engine &amp; AI Products</w:t>
      </w:r>
    </w:p>
    <w:p>
      <w:pPr>
        <w:pStyle w:val="ListParagraph"/>
        <w:numPr>
          <w:ilvl w:val="0"/>
          <w:numId w:val="2"/>
        </w:numPr>
        <w:spacing w:before="48" w:after="48" w:line="232"/>
      </w:pPr>
      <w:r>
        <w:rPr>
          <w:color w:val="333333"/>
          <w:sz w:val="18"/>
          <w:szCs w:val="18"/>
        </w:rPr>
        <w:t xml:space="preserve">Recalibrated regional quotas and rebalanced enterprise sales coverage around renewal cycles, cutting the quota-attainment gap by 50%</w:t>
      </w:r>
    </w:p>
    <w:p>
      <w:pPr>
        <w:pStyle w:val="ListParagraph"/>
        <w:numPr>
          <w:ilvl w:val="0"/>
          <w:numId w:val="2"/>
        </w:numPr>
        <w:spacing w:before="0" w:after="48" w:line="232"/>
      </w:pPr>
      <w:r>
        <w:rPr>
          <w:color w:val="333333"/>
          <w:sz w:val="18"/>
          <w:szCs w:val="18"/>
        </w:rPr>
        <w:t xml:space="preserve">Sized commercial, technical, and market-development headcount for a dedicated China organization based on market opportunity, informing a $40M annual investment decision</w:t>
      </w:r>
    </w:p>
    <w:p>
      <w:pPr>
        <w:pStyle w:val="ListParagraph"/>
        <w:numPr>
          <w:ilvl w:val="0"/>
          <w:numId w:val="2"/>
        </w:numPr>
        <w:spacing w:before="0" w:after="48" w:line="232"/>
      </w:pPr>
      <w:r>
        <w:rPr>
          <w:color w:val="333333"/>
          <w:sz w:val="18"/>
          <w:szCs w:val="18"/>
        </w:rPr>
        <w:t xml:space="preserve">Redesigned launch pricing and packaging for Epic's usage-based AI platform, aligning credit consumption with cost-to-serve to protect ~50% gross margin and eliminate ~$25M in annualized downside risk</w:t>
      </w:r>
    </w:p>
    <w:p>
      <w:pPr>
        <w:pStyle w:val="ListParagraph"/>
        <w:numPr>
          <w:ilvl w:val="0"/>
          <w:numId w:val="2"/>
        </w:numPr>
        <w:spacing w:before="0" w:after="48" w:line="232"/>
      </w:pPr>
      <w:r>
        <w:rPr>
          <w:color w:val="333333"/>
          <w:sz w:val="18"/>
          <w:szCs w:val="18"/>
        </w:rPr>
        <w:t xml:space="preserve">Raised weighted-average contracted royalty rates from &lt;1% to ~3% across $350M-$400M in licensing deal value by overhauling pricing and approval guardrails</w:t>
      </w:r>
    </w:p>
    <w:p>
      <w:pPr>
        <w:spacing w:before="13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Agentic Finance | Internal Tooling &amp; Enablement</w:t>
      </w:r>
    </w:p>
    <w:p>
      <w:pPr>
        <w:pStyle w:val="ListParagraph"/>
        <w:numPr>
          <w:ilvl w:val="0"/>
          <w:numId w:val="2"/>
        </w:numPr>
        <w:spacing w:before="48" w:after="48" w:line="232"/>
      </w:pPr>
      <w:r>
        <w:rPr>
          <w:color w:val="333333"/>
          <w:sz w:val="18"/>
          <w:szCs w:val="18"/>
        </w:rPr>
        <w:t xml:space="preserve">Built an agent-assisted close and leadership reporting pipeline used by the CFO, cutting monthly report delivery from 2+ days to ~1 hour</w:t>
      </w:r>
    </w:p>
    <w:p>
      <w:pPr>
        <w:pStyle w:val="ListParagraph"/>
        <w:numPr>
          <w:ilvl w:val="0"/>
          <w:numId w:val="2"/>
        </w:numPr>
        <w:spacing w:before="0" w:after="48" w:line="232"/>
      </w:pPr>
      <w:r>
        <w:rPr>
          <w:color w:val="333333"/>
          <w:sz w:val="18"/>
          <w:szCs w:val="18"/>
        </w:rPr>
        <w:t xml:space="preserve">Productized an agent workspace for 20+ nontechnical finance users, enabling secure self-service analysis across core data systems and saving 50+ team hours per week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Manager, Strategic Finance | Sales Planning &amp; Revenue Operations</w:t>
      </w:r>
    </w:p>
    <w:p>
      <w:pPr>
        <w:pStyle w:val="ListParagraph"/>
        <w:numPr>
          <w:ilvl w:val="0"/>
          <w:numId w:val="2"/>
        </w:numPr>
        <w:spacing w:before="48" w:after="48" w:line="232"/>
      </w:pPr>
      <w:r>
        <w:rPr>
          <w:color w:val="333333"/>
          <w:sz w:val="18"/>
          <w:szCs w:val="18"/>
        </w:rPr>
        <w:t xml:space="preserve">Planned and paced a 4x sales organization expansion from 50 to 200 reps against a $300M revenue target, building capacity and ramp models with the CRO and regional leaders and partnering with Recruiting on hiring plans</w:t>
      </w:r>
    </w:p>
    <w:p>
      <w:pPr>
        <w:pStyle w:val="ListParagraph"/>
        <w:numPr>
          <w:ilvl w:val="0"/>
          <w:numId w:val="2"/>
        </w:numPr>
        <w:spacing w:before="0" w:after="48" w:line="232"/>
      </w:pPr>
      <w:r>
        <w:rPr>
          <w:color w:val="333333"/>
          <w:sz w:val="18"/>
          <w:szCs w:val="18"/>
        </w:rPr>
        <w:t xml:space="preserve">Built ShareChat's first rolling three-month revenue forecast in Salesforce for weekly CRO sales reviews, keeping monthly forecasts within 5% of actuals and surfacing pipeline risks for timely intervention</w:t>
      </w:r>
    </w:p>
    <w:p>
      <w:pPr>
        <w:pStyle w:val="ListParagraph"/>
        <w:numPr>
          <w:ilvl w:val="0"/>
          <w:numId w:val="2"/>
        </w:numPr>
        <w:spacing w:before="0" w:after="48" w:line="232"/>
      </w:pPr>
      <w:r>
        <w:rPr>
          <w:color w:val="333333"/>
          <w:sz w:val="18"/>
          <w:szCs w:val="18"/>
        </w:rPr>
        <w:t xml:space="preserve">Redesigned rep commissions and launched a peak-season incentive program, lifting weighted-average bookings per rep 25% versus the prior-year peak season</w:t>
      </w:r>
    </w:p>
    <w:p>
      <w:pPr>
        <w:pStyle w:val="ListParagraph"/>
        <w:numPr>
          <w:ilvl w:val="0"/>
          <w:numId w:val="2"/>
        </w:numPr>
        <w:spacing w:before="0" w:after="48" w:line="232"/>
      </w:pPr>
      <w:r>
        <w:rPr>
          <w:color w:val="333333"/>
          <w:sz w:val="18"/>
          <w:szCs w:val="18"/>
        </w:rPr>
        <w:t xml:space="preserve">Owned the consolidated revenue plan for ShareChat's $255M Series G, integrating self-serve, programmatic, and direct sales forecasts into the fundraising model and investor diligence</w:t>
      </w:r>
    </w:p>
    <w:p>
      <w:pPr>
        <w:pStyle w:val="ListParagraph"/>
        <w:numPr>
          <w:ilvl w:val="0"/>
          <w:numId w:val="2"/>
        </w:numPr>
        <w:spacing w:before="0" w:after="48" w:line="232"/>
      </w:pPr>
      <w:r>
        <w:rPr>
          <w:color w:val="333333"/>
          <w:sz w:val="18"/>
          <w:szCs w:val="18"/>
        </w:rPr>
        <w:t xml:space="preserve">Co-led pricing and commercial terms with the Head of Agencies to close a $50M+ annual advertising contract, balancing committed spend, inventory yield, and revenue predictability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(B2B SaaS,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to CEO</w:t>
      </w:r>
      <w:r>
        <w:rPr>
          <w:i/>
          <w:iCs/>
          <w:color w:val="222222"/>
          <w:sz w:val="18"/>
          <w:szCs w:val="18"/>
        </w:rPr>
        <w:t xml:space="preserve"> | MBA Summer Intern</w:t>
      </w:r>
    </w:p>
    <w:p>
      <w:pPr>
        <w:pStyle w:val="ListParagraph"/>
        <w:numPr>
          <w:ilvl w:val="0"/>
          <w:numId w:val="2"/>
        </w:numPr>
        <w:spacing w:before="48" w:after="48" w:line="232"/>
      </w:pPr>
      <w:r>
        <w:rPr>
          <w:color w:val="333333"/>
          <w:sz w:val="18"/>
          <w:szCs w:val="18"/>
        </w:rPr>
        <w:t xml:space="preserve">Drove ~$500K in annualized EBITDA growth by repricing three B2B SaaS plans around usage, storage costs, and churn risk, then leading customer migration with the CEO, Marketing, and Customer Success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(Digital media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Manager, Corporate Development and Finance</w:t>
      </w:r>
    </w:p>
    <w:p>
      <w:pPr>
        <w:pStyle w:val="ListParagraph"/>
        <w:numPr>
          <w:ilvl w:val="0"/>
          <w:numId w:val="2"/>
        </w:numPr>
        <w:spacing w:before="48" w:after="48" w:line="232"/>
      </w:pPr>
      <w:r>
        <w:rPr>
          <w:color w:val="333333"/>
          <w:sz w:val="18"/>
          <w:szCs w:val="18"/>
        </w:rPr>
        <w:t xml:space="preserve">Built acquisition P&amp;Ls and post-close operating plans for $75M+ in studio acquisitions, translating diligence assumptions into integration budgets, synergy targets, and finance review materials</w:t>
      </w:r>
    </w:p>
    <w:p>
      <w:pPr>
        <w:pStyle w:val="Heading1"/>
        <w:pBdr>
          <w:bottom w:val="single" w:color="707070" w:sz="6" w:space="1"/>
        </w:pBdr>
        <w:spacing w:before="140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Tinkering on the Side</w:t>
      </w:r>
    </w:p>
    <w:p>
      <w:pPr>
        <w:pStyle w:val="ListParagraph"/>
        <w:numPr>
          <w:ilvl w:val="0"/>
          <w:numId w:val="2"/>
        </w:numPr>
        <w:spacing w:before="48" w:after="48" w:line="232"/>
      </w:pPr>
      <w:r>
        <w:rPr>
          <w:color w:val="333333"/>
          <w:sz w:val="18"/>
          <w:szCs w:val="18"/>
        </w:rPr>
        <w:t xml:space="preserve">Building Cadence, a local-only macOS meeting-notes app that captures system and microphone audio, transcribes with WhisperKit, and produces summaries and action items (</w:t>
      </w:r>
      <w:hyperlink w:history="1" r:id="rIdykmx1t1t52iax-pmfrkmr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)</w:t>
      </w:r>
    </w:p>
    <w:p>
      <w:pPr>
        <w:pStyle w:val="ListParagraph"/>
        <w:numPr>
          <w:ilvl w:val="0"/>
          <w:numId w:val="2"/>
        </w:numPr>
        <w:spacing w:before="0" w:after="48" w:line="232"/>
      </w:pPr>
      <w:r>
        <w:rPr>
          <w:color w:val="333333"/>
          <w:sz w:val="18"/>
          <w:szCs w:val="18"/>
        </w:rPr>
        <w:t xml:space="preserve">Co-founded COVID Fighters India, a crowdsourced crisis-response service that verified real-time hospital-bed and oxygen availability from a 15K+ member network and generated 30M+ social impressions in one month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bcqpjasxglog0mp28wy-8" Type="http://schemas.openxmlformats.org/officeDocument/2006/relationships/hyperlink" Target="mailto:darsh.shah981@gmail.com" TargetMode="External"/><Relationship Id="rIdqyr0g_n8pvtwss_8v5gmr" Type="http://schemas.openxmlformats.org/officeDocument/2006/relationships/hyperlink" Target="https://github.com/darshshah981" TargetMode="External"/><Relationship Id="rIdaz75y9fglwhxeq_-j7niu" Type="http://schemas.openxmlformats.org/officeDocument/2006/relationships/hyperlink" Target="https://darshshah.xyz" TargetMode="External"/><Relationship Id="rIdqwtzyx9n61eixuxgoyj8q" Type="http://schemas.openxmlformats.org/officeDocument/2006/relationships/hyperlink" Target="https://www.linkedin.com/in/darshshah981" TargetMode="External"/><Relationship Id="rIdykmx1t1t52iax-pmfrkmr" Type="http://schemas.openxmlformats.org/officeDocument/2006/relationships/hyperlink" Target="https://github.com/darshshah981/Cadence" TargetMode="External"/><Relationship Id="rId11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2026-07-27T06:02:25.554Z</dcterms:created>
  <dcterms:modified xsi:type="dcterms:W3CDTF">2026-07-27T06:02:25.555Z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