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before="0" w:after="12"/>
        <w:jc w:val="center"/>
      </w:pPr>
      <w:r>
        <w:rPr>
          <w:caps/>
        </w:rPr>
        <w:t xml:space="preserve">DARSH SHAH</w:t>
      </w:r>
    </w:p>
    <w:p>
      <w:pPr>
        <w:tabs>
          <w:tab w:val="right" w:pos="9026"/>
        </w:tabs>
        <w:spacing w:before="0" w:after="36" w:line="232"/>
        <w:jc w:val="center"/>
      </w:pPr>
      <w:r>
        <w:rPr>
          <w:color w:val="333333"/>
          <w:sz w:val="18"/>
          <w:szCs w:val="18"/>
        </w:rPr>
        <w:t xml:space="preserve">224.706.4188 | </w:t>
      </w:r>
      <w:hyperlink w:history="1" r:id="rId4royneplizzlyjcbihjii">
        <w:r>
          <w:rPr>
            <w:color w:val="0563C1"/>
            <w:sz w:val="18"/>
            <w:szCs w:val="18"/>
            <w:u w:val="single" w:color="0563C1"/>
          </w:rPr>
          <w:t xml:space="preserve">darsh.shah981@gmail.com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nxjntkipjed_10vooezmo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nz4vsvlv7rs0bmgrkms3-">
        <w:r>
          <w:rPr>
            <w:color w:val="0563C1"/>
            <w:sz w:val="18"/>
            <w:szCs w:val="18"/>
            <w:u w:val="single" w:color="0563C1"/>
          </w:rPr>
          <w:t xml:space="preserve">Website</w:t>
        </w:r>
      </w:hyperlink>
      <w:r>
        <w:rPr>
          <w:color w:val="333333"/>
          <w:sz w:val="18"/>
          <w:szCs w:val="18"/>
        </w:rPr>
        <w:t xml:space="preserve"> | </w:t>
      </w:r>
      <w:hyperlink w:history="1" r:id="rIdeije8f5xlhjeosrchlu4j">
        <w:r>
          <w:rPr>
            <w:color w:val="0563C1"/>
            <w:sz w:val="18"/>
            <w:szCs w:val="18"/>
            <w:u w:val="single" w:color="0563C1"/>
          </w:rPr>
          <w:t xml:space="preserve">LinkedIn</w:t>
        </w:r>
      </w:hyperlink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Why Cursor</w:t>
      </w:r>
    </w:p>
    <w:p>
      <w:pPr>
        <w:spacing w:before="0" w:after="8" w:line="232"/>
      </w:pPr>
      <w:r>
        <w:rPr>
          <w:sz w:val="18"/>
          <w:szCs w:val="18"/>
        </w:rPr>
        <w:t xml:space="preserve">Sales finance operator who built capacity, quota, and forecasting for a 50-to-200-rep expansion against a $300M plan. I now apply that lens to Unreal Engine's developer platform and use Cursor daily to build finance tools.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Education</w:t>
      </w:r>
    </w:p>
    <w:p>
      <w:pPr>
        <w:tabs>
          <w:tab w:val="left" w:pos="1656"/>
          <w:tab w:val="right" w:pos="10800"/>
        </w:tabs>
        <w:spacing w:before="40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2022 - 2024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NORTHWESTERN UNIVERSITY | KELLOGG SCHOOL OF MANAGEMENT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Evanston, IL</w:t>
      </w:r>
    </w:p>
    <w:p>
      <w:pPr>
        <w:spacing w:before="0" w:after="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Master of Business Administration (MBA)</w:t>
      </w:r>
      <w:r>
        <w:rPr>
          <w:i/>
          <w:iCs/>
          <w:color w:val="222222"/>
          <w:sz w:val="18"/>
          <w:szCs w:val="18"/>
        </w:rPr>
        <w:t xml:space="preserve"> | Concentrations: Strategy &amp; Finance | Dean's List | GMAT: 770</w:t>
      </w:r>
    </w:p>
    <w:p>
      <w:pPr>
        <w:tabs>
          <w:tab w:val="left" w:pos="1656"/>
          <w:tab w:val="right" w:pos="10800"/>
        </w:tabs>
        <w:spacing w:before="13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2013 - 2016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NARSEE MONJEE COLLEGE OF COMMERCE AND ECONOMICS | MUMBAI UNIVERSITY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Bachelor of Commerce (Finance)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Professional Experience</w:t>
      </w:r>
    </w:p>
    <w:p>
      <w:pPr>
        <w:tabs>
          <w:tab w:val="left" w:pos="1656"/>
          <w:tab w:val="right" w:pos="10800"/>
        </w:tabs>
        <w:spacing w:before="52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Oct 2024 - Present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EPIC GAMES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(Unreal Engine &amp; AI creator tools)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Hybrid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Senior Financial Analyst | GTM Finance, Unreal Engine &amp; AI Products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Analyzed Unreal Engine sales-rep productivity by region, isolating AAA-studio license-renewal cycles and using the pattern to time regional GTM coverage and quota targets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Run recurring close and QBR reviews for Unreal Engine, turning bookings, royalty, and licensing variances into budget reallocations, headcount decisions, and revenue-risk calls for leadership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Own unit economics for Epic's AI Creator Tools, setting launch pricing and cost targets that protect ~50% gross margin and avoid ~$25M in downside risk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Recommended reallocating $15M+ in marketplace minimum guarantees toward smaller creator deals after analysis of 500+ assets and 50+ publisher deals showed 4x higher observed ROI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Lead Claude Code enablement for 20 finance and business users, building reusable skills for self-service Workday, Salesforce, and Databricks analysis across 10+ recurring workflows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2021 - 2022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SHARECHAT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(Google-backed platform, 180M MAU)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Bengaluru,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Strategic Finance | Sales Planning &amp; Revenue Operations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Built the sales-capacity and quota model for a 6-month expansion from 50 to 200 reps against a $300M plan, setting headcount, channel mix, and productivity-ramp assumptions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Built ShareChat's first 3-month revenue-forecasting cadence in Salesforce, improving pipeline-risk visibility and holding monthly revenue forecasts within 5% of actuals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Restructured the rep commission curve and launched a festive-season incentive fund, aligning payouts with performance to lift sales productivity through peak demand cycles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Owned revenue planning for ShareChat's $255M Series G across self-serve, programmatic, and direct ad sales, translating business-unit forecasts into Board and investor materials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Set pricing and bulk-inventory discounts for a closed $50M+ annual advertising deal, balancing committed spend, ad-yield tradeoffs, and revenue predictability with Sales leaders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2023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PASS+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(B2B SaaS, 25K users)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Los Angeles, CA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Chief of Staff to CEO</w:t>
      </w:r>
      <w:r>
        <w:rPr>
          <w:i/>
          <w:iCs/>
          <w:color w:val="222222"/>
          <w:sz w:val="18"/>
          <w:szCs w:val="18"/>
        </w:rPr>
        <w:t xml:space="preserve"> | MBA Summer Intern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Drove ~$500K in annualized EBITDA growth by repricing three B2B SaaS plans around usage, storage cost, and churn risk, then leading customer migration with the CEO, Marketing, and Customer Success</w:t>
      </w:r>
    </w:p>
    <w:p>
      <w:pPr>
        <w:tabs>
          <w:tab w:val="left" w:pos="1656"/>
          <w:tab w:val="right" w:pos="10800"/>
        </w:tabs>
        <w:spacing w:before="184" w:after="12" w:line="232"/>
      </w:pPr>
      <w:r>
        <w:rPr>
          <w:b w:val="false"/>
          <w:bCs w:val="false"/>
          <w:color w:val="222222"/>
          <w:sz w:val="18"/>
          <w:szCs w:val="18"/>
        </w:rPr>
        <w:t xml:space="preserve">2017 - 2021</w:t>
      </w:r>
      <w:r>
        <w:t xml:space="preserve">	</w:t>
      </w:r>
      <w:r>
        <w:rPr>
          <w:b/>
          <w:bCs/>
          <w:color w:val="111111"/>
          <w:sz w:val="19"/>
          <w:szCs w:val="19"/>
        </w:rPr>
        <w:t xml:space="preserve">RAINSHINE ENTERTAINMENT</w:t>
      </w:r>
      <w:r>
        <w:rPr>
          <w:b w:val="false"/>
          <w:bCs w:val="false"/>
          <w:sz w:val="19"/>
          <w:szCs w:val="19"/>
        </w:rPr>
        <w:t xml:space="preserve"> </w:t>
      </w:r>
      <w:r>
        <w:rPr>
          <w:b w:val="false"/>
          <w:bCs w:val="false"/>
          <w:i/>
          <w:iCs/>
          <w:color w:val="666666"/>
          <w:sz w:val="17"/>
          <w:szCs w:val="17"/>
        </w:rPr>
        <w:t xml:space="preserve">(Digital media investment platform)</w:t>
      </w:r>
      <w:r>
        <w:t xml:space="preserve">	</w:t>
      </w:r>
      <w:r>
        <w:rPr>
          <w:b w:val="false"/>
          <w:bCs w:val="false"/>
          <w:color w:val="222222"/>
          <w:sz w:val="18"/>
          <w:szCs w:val="18"/>
        </w:rPr>
        <w:t xml:space="preserve">Mumbai, India</w:t>
      </w:r>
    </w:p>
    <w:p>
      <w:pPr>
        <w:spacing w:before="0" w:after="28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Manager, Corporate Development and Finance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Built acquisition P&amp;Ls and post-close operating plans for $75M+ in studio acquisitions, translating diligence assumptions into integration budgets, synergy targets, and finance review materials</w:t>
      </w:r>
    </w:p>
    <w:p>
      <w:pPr>
        <w:pStyle w:val="Heading1"/>
        <w:pBdr>
          <w:bottom w:val="single" w:color="707070" w:sz="6" w:space="1"/>
        </w:pBdr>
        <w:spacing w:before="104" w:after="30"/>
      </w:pPr>
      <w:r>
        <w:rPr>
          <w:caps/>
          <w:sz w:val="18"/>
          <w:szCs w:val="18"/>
        </w:rPr>
        <w:t xml:space="preserve">Additional</w:t>
      </w:r>
    </w:p>
    <w:p>
      <w:pPr>
        <w:spacing w:before="0" w:after="12" w:line="232"/>
        <w:ind w:left="1656"/>
      </w:pPr>
      <w:r>
        <w:rPr>
          <w:b/>
          <w:bCs/>
          <w:i/>
          <w:iCs/>
          <w:color w:val="222222"/>
          <w:sz w:val="18"/>
          <w:szCs w:val="18"/>
        </w:rPr>
        <w:t xml:space="preserve">Technical Side Project</w:t>
      </w:r>
    </w:p>
    <w:p>
      <w:pPr>
        <w:pStyle w:val="ListParagraph"/>
        <w:numPr>
          <w:ilvl w:val="0"/>
          <w:numId w:val="2"/>
        </w:numPr>
        <w:spacing w:before="0" w:after="156" w:line="232"/>
      </w:pPr>
      <w:r>
        <w:rPr>
          <w:color w:val="333333"/>
          <w:sz w:val="18"/>
          <w:szCs w:val="18"/>
        </w:rPr>
        <w:t xml:space="preserve">Building Cadence, a local-only macOS meeting-notes app with system and microphone capture, WhisperKit transcription, local summaries, action items, and Markdown export (</w:t>
      </w:r>
      <w:hyperlink w:history="1" r:id="rId7gmrs1ut7slywui_orr6x">
        <w:r>
          <w:rPr>
            <w:color w:val="0563C1"/>
            <w:sz w:val="18"/>
            <w:szCs w:val="18"/>
            <w:u w:val="single" w:color="0563C1"/>
          </w:rPr>
          <w:t xml:space="preserve">GitHub</w:t>
        </w:r>
      </w:hyperlink>
      <w:r>
        <w:rPr>
          <w:color w:val="333333"/>
          <w:sz w:val="18"/>
          <w:szCs w:val="18"/>
        </w:rPr>
        <w:t xml:space="preserve">)</w:t>
      </w:r>
    </w:p>
    <w:sectPr>
      <w:pgSz w:w="12240" w:h="15840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2016" w:hanging="324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"/>
      <w:jc w:val="center"/>
    </w:pPr>
    <w:rPr>
      <w:rFonts w:ascii="Calibri" w:cs="Calibri" w:eastAsia="Calibri" w:hAnsi="Calibri"/>
      <w:b/>
      <w:bCs/>
      <w:color w:val="000000"/>
      <w:sz w:val="22"/>
      <w:szCs w:val="22"/>
    </w:rPr>
  </w:style>
  <w:style w:type="paragraph" w:styleId="Heading1">
    <w:name w:val="Heading 1"/>
    <w:basedOn w:val="Normal"/>
    <w:next w:val="Normal"/>
    <w:qFormat/>
    <w:pPr>
      <w:spacing w:before="104" w:after="30"/>
      <w:outlineLvl w:val="0"/>
    </w:pPr>
    <w:rPr>
      <w:rFonts w:ascii="Calibri" w:cs="Calibri" w:eastAsia="Calibri" w:hAnsi="Calibri"/>
      <w:b/>
      <w:bCs/>
      <w:color w:val="222222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4royneplizzlyjcbihjii" Type="http://schemas.openxmlformats.org/officeDocument/2006/relationships/hyperlink" Target="mailto:darsh.shah981@gmail.com" TargetMode="External"/><Relationship Id="rIdnxjntkipjed_10vooezmo" Type="http://schemas.openxmlformats.org/officeDocument/2006/relationships/hyperlink" Target="https://github.com/darshshah981" TargetMode="External"/><Relationship Id="rIdnz4vsvlv7rs0bmgrkms3-" Type="http://schemas.openxmlformats.org/officeDocument/2006/relationships/hyperlink" Target="https://darshshah.xyz" TargetMode="External"/><Relationship Id="rIdeije8f5xlhjeosrchlu4j" Type="http://schemas.openxmlformats.org/officeDocument/2006/relationships/hyperlink" Target="https://www.linkedin.com/in/darshshah981" TargetMode="External"/><Relationship Id="rId7gmrs1ut7slywui_orr6x" Type="http://schemas.openxmlformats.org/officeDocument/2006/relationships/hyperlink" Target="https://github.com/darshshah981/Cadence" TargetMode="External"/><Relationship Id="rId11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2026-07-24T14:14:32.269Z</dcterms:created>
  <dcterms:modified xsi:type="dcterms:W3CDTF">2026-07-24T14:14:32.270Z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