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before="0" w:after="12"/>
        <w:jc w:val="center"/>
      </w:pPr>
      <w:r>
        <w:rPr>
          <w:caps/>
        </w:rPr>
        <w:t xml:space="preserve">DARSH SHAH</w:t>
      </w:r>
    </w:p>
    <w:p>
      <w:pPr>
        <w:tabs>
          <w:tab w:val="right" w:pos="9026"/>
        </w:tabs>
        <w:spacing w:before="0" w:after="36" w:line="232"/>
        <w:jc w:val="center"/>
      </w:pPr>
      <w:r>
        <w:rPr>
          <w:color w:val="333333"/>
          <w:sz w:val="18"/>
          <w:szCs w:val="18"/>
        </w:rPr>
        <w:t xml:space="preserve">224.706.4188 | </w:t>
      </w:r>
      <w:hyperlink w:history="1" r:id="rIdgxl3srsq7k2u9mdotfqau">
        <w:r>
          <w:rPr>
            <w:color w:val="0563C1"/>
            <w:sz w:val="18"/>
            <w:szCs w:val="18"/>
            <w:u w:val="single" w:color="0563C1"/>
          </w:rPr>
          <w:t xml:space="preserve">darsh.shah981@gmail.com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cllgjdak3y1pwwrsblxkx">
        <w:r>
          <w:rPr>
            <w:color w:val="0563C1"/>
            <w:sz w:val="18"/>
            <w:szCs w:val="18"/>
            <w:u w:val="single" w:color="0563C1"/>
          </w:rPr>
          <w:t xml:space="preserve">GitHub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-cu3qqd_6m_vxb57cxjcv">
        <w:r>
          <w:rPr>
            <w:color w:val="0563C1"/>
            <w:sz w:val="18"/>
            <w:szCs w:val="18"/>
            <w:u w:val="single" w:color="0563C1"/>
          </w:rPr>
          <w:t xml:space="preserve">Website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ei9wdpbxd1wvrm0g1ur2a">
        <w:r>
          <w:rPr>
            <w:color w:val="0563C1"/>
            <w:sz w:val="18"/>
            <w:szCs w:val="18"/>
            <w:u w:val="single" w:color="0563C1"/>
          </w:rPr>
          <w:t xml:space="preserve">LinkedIn</w:t>
        </w:r>
      </w:hyperlink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Education</w:t>
      </w:r>
    </w:p>
    <w:p>
      <w:pPr>
        <w:tabs>
          <w:tab w:val="left" w:pos="1656"/>
          <w:tab w:val="right" w:pos="10800"/>
        </w:tabs>
        <w:spacing w:before="40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2022 - 2024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NORTHWESTERN UNIVERSITY | KELLOGG SCHOOL OF MANAGEMENT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Evanston, IL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Master of Business Administration (MBA)</w:t>
      </w:r>
      <w:r>
        <w:rPr>
          <w:i/>
          <w:iCs/>
          <w:color w:val="222222"/>
          <w:sz w:val="18"/>
          <w:szCs w:val="18"/>
        </w:rPr>
        <w:t xml:space="preserve"> | Concentrations: Strategy &amp; Finance | Dean's List | GMAT: 770</w:t>
      </w:r>
    </w:p>
    <w:p>
      <w:pPr>
        <w:tabs>
          <w:tab w:val="left" w:pos="1656"/>
          <w:tab w:val="right" w:pos="10800"/>
        </w:tabs>
        <w:spacing w:before="13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2013 - 2016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NARSEE MONJEE COLLEGE OF COMMERCE AND ECONOMICS | MUMBAI UNIVERSITY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Bachelor of Commerce (Finance)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Professional Experience</w:t>
      </w:r>
    </w:p>
    <w:p>
      <w:pPr>
        <w:tabs>
          <w:tab w:val="left" w:pos="1656"/>
          <w:tab w:val="right" w:pos="10800"/>
        </w:tabs>
        <w:spacing w:before="5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Oct 2024 - Present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EPIC GAMES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(Game Dev Tools)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Hybrid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Finance Business Partner | GTM Planning, Pricing &amp; Reporting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Analyzed Unreal Engine sales-rep productivity by region, isolated AAA-studio license-renewal cycles as the key driver, and timed GTM coverage and quota targets to each region's pattern, yielding [ADD VERIFIED PRODUCTIVITY IMPACT]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Presented recurring Unreal Engine close and QBR analyses to leadership, explaining royalty, licensing, and bookings variances that informed budget reallocations, headcount decisions, and revenue-risk calls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Recommended launch pricing and packaging for Epic's agentic Game Dev Tools, translating usage and cost-to-serve scenarios into ~50% gross-margin targets and mitigating ~$25M in downside risk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a finance data pipeline with an HTML reporting harness, replacing Day 1 PPT reporting with live artifacts and cutting reporting lead time from 2+ days to ~1 hour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Led Claude Code enablement for 20+ finance and business users with curriculum, review steps, source checks, and reusable skills across 10+ close, forecasting, and reporting workflows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2021 - 2022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SHARECHAT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(Google-backed short video platform, 180 million MAU)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Bengaluru, India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GTM Strategy &amp; Finance, Manager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the sales-capacity and quota model for a 6-month expansion from 50 to 200 reps against a $300M plan, setting headcount, channel mix, and productivity-ramp assumptions under high ambiguity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Restructured the rep commission curve and launched a festive-season incentive fund, tying payout to performance and lifting sales productivity through peak demand cycles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ShareChat's first driver-based revenue forecast from Salesforce pipeline, booked-campaign, and ad-inventory data, keeping monthly forecasts within 5% of actuals across a high-growth ads business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Engineered the ads-product financial model that secured a $10M quarterly performance-marketing budget by setting LTV/CAC and payback targets for profitable scale-up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Owned revenue planning for ShareChat's $255M Series G across self-serve, programmatic, and direct ad sales, translating business-unit forecasts into Board and investor diligence materials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Set bulk-inventory discount recommendations for a closed $50M+ annual ad deal, balancing committed spend, yield tradeoffs, and revenue predictability for Sales and Commercial leaders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2023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PASS+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(Vertical SaaS platform, 25K users)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Los Angeles, CA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Chief of Staff</w:t>
      </w:r>
      <w:r>
        <w:rPr>
          <w:i/>
          <w:iCs/>
          <w:color w:val="222222"/>
          <w:sz w:val="18"/>
          <w:szCs w:val="18"/>
        </w:rPr>
        <w:t xml:space="preserve"> | MBA Intern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Repriced three SaaS plans around usage, storage cost, churn risk, and customer migration, shaping ~$500K in annualized EBITDA growth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2017 - 2021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RAINSHINE ENTERTAINMENT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(media/gaming investment platform)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Corporate Development &amp; Finance, Manager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unit-economics models with LTV, churn, retention, and CAC inputs for a $1M gaming-as-a-service decision and a $3M content-platform launch, framing investment tradeoffs for executives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Additional</w:t>
      </w:r>
    </w:p>
    <w:p>
      <w:pPr>
        <w:spacing w:before="0" w:after="12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Agentic Product Builds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glm-codex-relay, a local relay that lets Codex run GLM-5.2 as a bounded worker by translating Responses API requests to Chat Completions and saving trace and review bundles (</w:t>
      </w:r>
      <w:hyperlink w:history="1" r:id="rIdf0e2dp1iuo1zbvldh_nyq">
        <w:r>
          <w:rPr>
            <w:color w:val="0563C1"/>
            <w:sz w:val="18"/>
            <w:szCs w:val="18"/>
            <w:u w:val="single" w:color="0563C1"/>
          </w:rPr>
          <w:t xml:space="preserve">GitHub</w:t>
        </w:r>
      </w:hyperlink>
      <w:r>
        <w:rPr>
          <w:color w:val="333333"/>
          <w:sz w:val="18"/>
          <w:szCs w:val="18"/>
        </w:rPr>
        <w:t xml:space="preserve">)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Cadence, a local-only macOS meeting-notes app with system and microphone audio capture, WhisperKit transcription, local summaries, action items, and Markdown export (</w:t>
      </w:r>
      <w:hyperlink w:history="1" r:id="rIdf6plzhwjmwtfffz0xotjv">
        <w:r>
          <w:rPr>
            <w:color w:val="0563C1"/>
            <w:sz w:val="18"/>
            <w:szCs w:val="18"/>
            <w:u w:val="single" w:color="0563C1"/>
          </w:rPr>
          <w:t xml:space="preserve">GitHub</w:t>
        </w:r>
      </w:hyperlink>
      <w:r>
        <w:rPr>
          <w:color w:val="333333"/>
          <w:sz w:val="18"/>
          <w:szCs w:val="18"/>
        </w:rPr>
        <w:t xml:space="preserve">)</w:t>
      </w:r>
    </w:p>
    <w:p>
      <w:pPr>
        <w:spacing w:before="232" w:after="12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Certification &amp; Tools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Earned the Chartered Accountant (ICAI) credential in the top 1% of ~130k candidates; build with Excel, SQL, Python, Databricks, Salesforce, Workday, Tableau, Power BI, and Claude Code</w:t>
      </w:r>
    </w:p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016" w:hanging="324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0000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before="0" w:after="12"/>
      <w:jc w:val="center"/>
    </w:pPr>
    <w:rPr>
      <w:rFonts w:ascii="Calibri" w:cs="Calibri" w:eastAsia="Calibri" w:hAnsi="Calibri"/>
      <w:b/>
      <w:bCs/>
      <w:color w:val="000000"/>
      <w:sz w:val="22"/>
      <w:szCs w:val="22"/>
    </w:rPr>
  </w:style>
  <w:style w:type="paragraph" w:styleId="Heading1">
    <w:name w:val="Heading 1"/>
    <w:basedOn w:val="Normal"/>
    <w:next w:val="Normal"/>
    <w:qFormat/>
    <w:pPr>
      <w:spacing w:before="104" w:after="30"/>
      <w:outlineLvl w:val="0"/>
    </w:pPr>
    <w:rPr>
      <w:rFonts w:ascii="Calibri" w:cs="Calibri" w:eastAsia="Calibri" w:hAnsi="Calibri"/>
      <w:b/>
      <w:bCs/>
      <w:color w:val="222222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gxl3srsq7k2u9mdotfqau" Type="http://schemas.openxmlformats.org/officeDocument/2006/relationships/hyperlink" Target="mailto:darsh.shah981@gmail.com" TargetMode="External"/><Relationship Id="rIdcllgjdak3y1pwwrsblxkx" Type="http://schemas.openxmlformats.org/officeDocument/2006/relationships/hyperlink" Target="https://github.com/darshshah981" TargetMode="External"/><Relationship Id="rId-cu3qqd_6m_vxb57cxjcv" Type="http://schemas.openxmlformats.org/officeDocument/2006/relationships/hyperlink" Target="https://darshshah.xyz" TargetMode="External"/><Relationship Id="rIdei9wdpbxd1wvrm0g1ur2a" Type="http://schemas.openxmlformats.org/officeDocument/2006/relationships/hyperlink" Target="https://www.linkedin.com/in/darshshah981" TargetMode="External"/><Relationship Id="rIdf0e2dp1iuo1zbvldh_nyq" Type="http://schemas.openxmlformats.org/officeDocument/2006/relationships/hyperlink" Target="https://github.com/darshshah981/glm-codex-relay" TargetMode="External"/><Relationship Id="rIdf6plzhwjmwtfffz0xotjv" Type="http://schemas.openxmlformats.org/officeDocument/2006/relationships/hyperlink" Target="https://github.com/darshshah981/Cadence" TargetMode="External"/><Relationship Id="rId12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2026-07-24T06:01:04.428Z</dcterms:created>
  <dcterms:modified xsi:type="dcterms:W3CDTF">2026-07-24T06:01:04.430Z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